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朗县孜列寺管委会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 xml:space="preserve"> 月</w:t>
      </w:r>
      <w:r>
        <w:rPr>
          <w:rFonts w:hint="eastAsia" w:ascii="仿宋" w:hAnsi="仿宋" w:eastAsia="仿宋"/>
          <w:sz w:val="32"/>
          <w:szCs w:val="32"/>
          <w:lang w:val="en-US" w:eastAsia="zh-CN"/>
        </w:rPr>
        <w:t>18</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spacing w:line="500" w:lineRule="exact"/>
        <w:rPr>
          <w:rFonts w:hint="eastAsia" w:ascii="仿宋" w:hAnsi="仿宋" w:eastAsia="仿宋" w:cs="仿宋"/>
          <w:color w:val="000000" w:themeColor="text1"/>
          <w:sz w:val="32"/>
          <w:szCs w:val="32"/>
        </w:rPr>
      </w:pPr>
      <w:r>
        <w:rPr>
          <w:rFonts w:hint="eastAsia" w:ascii="仿宋" w:hAnsi="仿宋" w:eastAsia="仿宋" w:cs="宋体"/>
          <w:color w:val="000000" w:themeColor="text1"/>
          <w:sz w:val="32"/>
          <w:szCs w:val="32"/>
          <w:lang w:val="en-US" w:eastAsia="zh-CN"/>
        </w:rPr>
        <w:t xml:space="preserve">    </w:t>
      </w: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贯彻执行党的宗教工作基本方针和国家管理宗教事务法律法规,依法履行管理服务教育职能,促进寺庙和谐稳定。</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2.制定并组织实施寺庙的管理制度,维护寺庙佛事活动正常秩序</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3.组织寺庙僧人学习党的民族、宗教政策及国家有关法律、法规、规章,加强宗教和谐与民族团结宣传教育,维护祖国统一、反对分裂,理直气壮地揭批十四世达赖祸藏乱教的罪行。</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4.组织实施僧人的培养工作,壮大宗教界爱国力量,积极开展和谐模范寺庙暨爱国守法先进僧尼创建评选活动,引导藏传佛教与社会主义社会相适应。</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5.依法保护管理寺庙文物和资产，协助组织开展寺庙自营产业和社会公益慈善事业。</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6.维护寺庙治安秩序、消防安全和环境卫生，做好寺庙和僧人的基本公共服务,协调解决寺庙僧人的困难和问题,协调落实僧人医保、低保、养老、人身意外伤害保险等工作。</w:t>
      </w:r>
    </w:p>
    <w:p>
      <w:pPr>
        <w:numPr>
          <w:ilvl w:val="0"/>
          <w:numId w:val="1"/>
        </w:numPr>
        <w:spacing w:line="500" w:lineRule="exact"/>
        <w:ind w:firstLine="64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协调寺庙与社会其他的关系,维护寺庙和僧人的合法权益，承办党委、政府及统战民宗等部门交办的其他事项。</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8.寺管会财务资产产管理制度</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9.严格按照《会计法》、《宗教活动场所财务监督管理办理(试行)等相关法律法规,加强对寺庙财务的监督管理和寺庙管理委会财务的自身管理,建章立制,明确收支两条线。</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10.尊重寺庙资金的传统用途,做到财务收支底数清、情况明，寺庙管委会自身运行的各种费用不得在寺庙收入中支出。</w:t>
      </w:r>
    </w:p>
    <w:p>
      <w:pPr>
        <w:numPr>
          <w:ilvl w:val="0"/>
          <w:numId w:val="0"/>
        </w:numPr>
        <w:spacing w:line="500" w:lineRule="exact"/>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color w:val="000000" w:themeColor="text1"/>
          <w:sz w:val="32"/>
          <w:szCs w:val="32"/>
        </w:rPr>
        <w:t>11.寺庙管理委员会每半年要将寺庙财务收支情况向广大僧尼和信教群众进行公示,寺庙管理委员会干部不得参与寺庙的任何具体经营活动,并自觉接受相关部门的监督检查。</w:t>
      </w:r>
    </w:p>
    <w:p>
      <w:pPr>
        <w:rPr>
          <w:rFonts w:ascii="黑体" w:hAnsi="黑体" w:eastAsia="黑体"/>
          <w:sz w:val="32"/>
          <w:szCs w:val="32"/>
        </w:rPr>
      </w:pPr>
      <w:r>
        <w:rPr>
          <w:rFonts w:hint="eastAsia" w:ascii="黑体" w:hAnsi="黑体" w:eastAsia="黑体"/>
          <w:sz w:val="32"/>
          <w:szCs w:val="32"/>
        </w:rPr>
        <w:t>二、部门预算单位构成</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纳入西藏朗县孜列寺管委会2020年部门预算编制范围的单位朗县孜列寺管委会机关。</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lang w:eastAsia="zh-CN"/>
        </w:rPr>
        <w:t>朗县孜列寺管委会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2</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一、202</w:t>
      </w:r>
      <w:r>
        <w:rPr>
          <w:rFonts w:hint="eastAsia" w:ascii="黑体" w:hAnsi="黑体" w:eastAsia="黑体"/>
          <w:sz w:val="32"/>
          <w:szCs w:val="32"/>
          <w:lang w:val="en-US" w:eastAsia="zh-CN"/>
        </w:rPr>
        <w:t>2</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年收支总预算</w:t>
      </w:r>
      <w:r>
        <w:rPr>
          <w:rFonts w:hint="eastAsia" w:ascii="仿宋" w:hAnsi="仿宋" w:eastAsia="仿宋"/>
          <w:sz w:val="32"/>
          <w:szCs w:val="32"/>
          <w:lang w:val="en-US" w:eastAsia="zh-CN"/>
        </w:rPr>
        <w:t>198.54</w:t>
      </w:r>
      <w:r>
        <w:rPr>
          <w:rFonts w:hint="eastAsia" w:ascii="仿宋" w:hAnsi="仿宋" w:eastAsia="仿宋"/>
          <w:sz w:val="32"/>
          <w:szCs w:val="32"/>
        </w:rPr>
        <w:t>万元。收入</w:t>
      </w:r>
      <w:r>
        <w:rPr>
          <w:rFonts w:hint="eastAsia" w:ascii="仿宋" w:hAnsi="仿宋" w:eastAsia="仿宋"/>
          <w:sz w:val="32"/>
          <w:szCs w:val="32"/>
          <w:lang w:eastAsia="zh-CN"/>
        </w:rPr>
        <w:t>全部为</w:t>
      </w:r>
      <w:r>
        <w:rPr>
          <w:rFonts w:hint="eastAsia" w:ascii="仿宋" w:hAnsi="仿宋" w:eastAsia="仿宋"/>
          <w:sz w:val="32"/>
          <w:szCs w:val="32"/>
        </w:rPr>
        <w:t>一般公共预算拨款收入；支出包括：一般公共服务支出</w:t>
      </w:r>
      <w:r>
        <w:rPr>
          <w:rFonts w:hint="eastAsia" w:ascii="仿宋" w:hAnsi="仿宋" w:eastAsia="仿宋"/>
          <w:sz w:val="32"/>
          <w:szCs w:val="32"/>
          <w:lang w:val="en-US" w:eastAsia="zh-CN"/>
        </w:rPr>
        <w:t>152.47万元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18.79万元</w:t>
      </w:r>
      <w:r>
        <w:rPr>
          <w:rFonts w:hint="eastAsia" w:ascii="仿宋" w:hAnsi="仿宋" w:eastAsia="仿宋"/>
          <w:sz w:val="32"/>
          <w:szCs w:val="32"/>
        </w:rPr>
        <w:t>、卫生健康支出</w:t>
      </w:r>
      <w:r>
        <w:rPr>
          <w:rFonts w:hint="eastAsia" w:ascii="仿宋" w:hAnsi="仿宋" w:eastAsia="仿宋"/>
          <w:sz w:val="32"/>
          <w:szCs w:val="32"/>
          <w:lang w:val="en-US" w:eastAsia="zh-CN"/>
        </w:rPr>
        <w:t>12.14万元</w:t>
      </w:r>
      <w:r>
        <w:rPr>
          <w:rFonts w:hint="eastAsia" w:ascii="仿宋" w:hAnsi="仿宋" w:eastAsia="仿宋"/>
          <w:sz w:val="32"/>
          <w:szCs w:val="32"/>
        </w:rPr>
        <w:t>、住房保障支出</w:t>
      </w:r>
      <w:r>
        <w:rPr>
          <w:rFonts w:hint="eastAsia" w:ascii="仿宋" w:hAnsi="仿宋" w:eastAsia="仿宋"/>
          <w:sz w:val="32"/>
          <w:szCs w:val="32"/>
          <w:lang w:val="en-US" w:eastAsia="zh-CN"/>
        </w:rPr>
        <w:t>14.87万元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二、202</w:t>
      </w:r>
      <w:r>
        <w:rPr>
          <w:rFonts w:hint="eastAsia" w:ascii="黑体" w:hAnsi="黑体" w:eastAsia="黑体"/>
          <w:sz w:val="32"/>
          <w:szCs w:val="32"/>
          <w:lang w:val="en-US" w:eastAsia="zh-CN"/>
        </w:rPr>
        <w:t>2</w:t>
      </w:r>
      <w:r>
        <w:rPr>
          <w:rFonts w:hint="eastAsia" w:ascii="黑体" w:hAnsi="黑体" w:eastAsia="黑体"/>
          <w:sz w:val="32"/>
          <w:szCs w:val="32"/>
        </w:rPr>
        <w:t>年度部门收入总表的说明</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收入预算</w:t>
      </w:r>
      <w:r>
        <w:rPr>
          <w:rFonts w:hint="eastAsia" w:ascii="仿宋" w:hAnsi="仿宋" w:eastAsia="仿宋"/>
          <w:sz w:val="32"/>
          <w:szCs w:val="32"/>
          <w:lang w:val="en-US" w:eastAsia="zh-CN"/>
        </w:rPr>
        <w:t>198.54</w:t>
      </w:r>
      <w:r>
        <w:rPr>
          <w:rFonts w:hint="eastAsia" w:ascii="仿宋" w:hAnsi="仿宋" w:eastAsia="仿宋"/>
          <w:sz w:val="32"/>
          <w:szCs w:val="32"/>
        </w:rPr>
        <w:t>万元；一般公共预算拨款收入</w:t>
      </w:r>
      <w:r>
        <w:rPr>
          <w:rFonts w:hint="eastAsia" w:ascii="仿宋" w:hAnsi="仿宋" w:eastAsia="仿宋"/>
          <w:sz w:val="32"/>
          <w:szCs w:val="32"/>
          <w:lang w:val="en-US" w:eastAsia="zh-CN"/>
        </w:rPr>
        <w:t>198.54</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三、202</w:t>
      </w:r>
      <w:r>
        <w:rPr>
          <w:rFonts w:hint="eastAsia" w:ascii="黑体" w:hAnsi="黑体" w:eastAsia="黑体"/>
          <w:sz w:val="32"/>
          <w:szCs w:val="32"/>
          <w:lang w:val="en-US" w:eastAsia="zh-CN"/>
        </w:rPr>
        <w:t>2</w:t>
      </w:r>
      <w:r>
        <w:rPr>
          <w:rFonts w:hint="eastAsia" w:ascii="黑体" w:hAnsi="黑体" w:eastAsia="黑体"/>
          <w:sz w:val="32"/>
          <w:szCs w:val="32"/>
        </w:rPr>
        <w:t>年部门支出总表的说明</w:t>
      </w:r>
    </w:p>
    <w:p>
      <w:pPr>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年支出预算</w:t>
      </w:r>
      <w:r>
        <w:rPr>
          <w:rFonts w:hint="eastAsia" w:ascii="仿宋" w:hAnsi="仿宋" w:eastAsia="仿宋"/>
          <w:sz w:val="32"/>
          <w:szCs w:val="32"/>
          <w:lang w:val="en-US" w:eastAsia="zh-CN"/>
        </w:rPr>
        <w:t>198.54</w:t>
      </w:r>
      <w:r>
        <w:rPr>
          <w:rFonts w:hint="eastAsia" w:ascii="仿宋" w:hAnsi="仿宋" w:eastAsia="仿宋"/>
          <w:sz w:val="32"/>
          <w:szCs w:val="32"/>
        </w:rPr>
        <w:t>万元，其中：基本支出</w:t>
      </w:r>
      <w:r>
        <w:rPr>
          <w:rFonts w:hint="eastAsia" w:ascii="仿宋" w:hAnsi="仿宋" w:eastAsia="仿宋"/>
          <w:sz w:val="32"/>
          <w:szCs w:val="32"/>
          <w:lang w:val="en-US" w:eastAsia="zh-CN"/>
        </w:rPr>
        <w:t>197.04</w:t>
      </w:r>
      <w:r>
        <w:rPr>
          <w:rFonts w:hint="eastAsia" w:ascii="仿宋" w:hAnsi="仿宋" w:eastAsia="仿宋"/>
          <w:sz w:val="32"/>
          <w:szCs w:val="32"/>
        </w:rPr>
        <w:t>万元，占</w:t>
      </w:r>
      <w:r>
        <w:rPr>
          <w:rFonts w:hint="eastAsia" w:ascii="仿宋" w:hAnsi="仿宋" w:eastAsia="仿宋"/>
          <w:sz w:val="32"/>
          <w:szCs w:val="32"/>
          <w:lang w:val="en-US" w:eastAsia="zh-CN"/>
        </w:rPr>
        <w:t>99.25</w:t>
      </w:r>
      <w:r>
        <w:rPr>
          <w:rFonts w:hint="eastAsia" w:ascii="仿宋" w:hAnsi="仿宋" w:eastAsia="仿宋"/>
          <w:sz w:val="32"/>
          <w:szCs w:val="32"/>
        </w:rPr>
        <w:t>%；项目支出</w:t>
      </w:r>
      <w:r>
        <w:rPr>
          <w:rFonts w:hint="eastAsia" w:ascii="仿宋" w:hAnsi="仿宋" w:eastAsia="仿宋"/>
          <w:sz w:val="32"/>
          <w:szCs w:val="32"/>
          <w:lang w:val="en-US" w:eastAsia="zh-CN"/>
        </w:rPr>
        <w:t>1.5</w:t>
      </w:r>
      <w:r>
        <w:rPr>
          <w:rFonts w:hint="eastAsia" w:ascii="仿宋" w:hAnsi="仿宋" w:eastAsia="仿宋"/>
          <w:sz w:val="32"/>
          <w:szCs w:val="32"/>
        </w:rPr>
        <w:t>万元，占</w:t>
      </w:r>
      <w:r>
        <w:rPr>
          <w:rFonts w:hint="eastAsia" w:ascii="仿宋" w:hAnsi="仿宋" w:eastAsia="仿宋"/>
          <w:sz w:val="32"/>
          <w:szCs w:val="32"/>
          <w:lang w:val="en-US" w:eastAsia="zh-CN"/>
        </w:rPr>
        <w:t>0.75%。</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四、202</w:t>
      </w:r>
      <w:r>
        <w:rPr>
          <w:rFonts w:hint="eastAsia" w:ascii="黑体" w:hAnsi="黑体" w:eastAsia="黑体"/>
          <w:sz w:val="32"/>
          <w:szCs w:val="32"/>
          <w:lang w:val="en-US" w:eastAsia="zh-CN"/>
        </w:rPr>
        <w:t>2</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年财政拨款收支总预算</w:t>
      </w:r>
      <w:r>
        <w:rPr>
          <w:rFonts w:hint="eastAsia" w:ascii="仿宋" w:hAnsi="仿宋" w:eastAsia="仿宋"/>
          <w:sz w:val="32"/>
          <w:szCs w:val="32"/>
          <w:lang w:val="en-US" w:eastAsia="zh-CN"/>
        </w:rPr>
        <w:t>198.54</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lang w:val="en-US" w:eastAsia="zh-CN"/>
        </w:rPr>
        <w:t>198.54</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152.47</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18.79</w:t>
      </w:r>
      <w:r>
        <w:rPr>
          <w:rFonts w:hint="eastAsia" w:ascii="仿宋" w:hAnsi="仿宋" w:eastAsia="仿宋"/>
          <w:sz w:val="32"/>
          <w:szCs w:val="32"/>
        </w:rPr>
        <w:t>万元、卫生健康支出</w:t>
      </w:r>
      <w:r>
        <w:rPr>
          <w:rFonts w:hint="eastAsia" w:ascii="仿宋" w:hAnsi="仿宋" w:eastAsia="仿宋"/>
          <w:sz w:val="32"/>
          <w:szCs w:val="32"/>
          <w:lang w:val="en-US" w:eastAsia="zh-CN"/>
        </w:rPr>
        <w:t>12.41</w:t>
      </w:r>
      <w:r>
        <w:rPr>
          <w:rFonts w:hint="eastAsia" w:ascii="仿宋" w:hAnsi="仿宋" w:eastAsia="仿宋"/>
          <w:sz w:val="32"/>
          <w:szCs w:val="32"/>
        </w:rPr>
        <w:t>万元、住房保障支出</w:t>
      </w:r>
      <w:r>
        <w:rPr>
          <w:rFonts w:hint="eastAsia" w:ascii="仿宋" w:hAnsi="仿宋" w:eastAsia="仿宋"/>
          <w:sz w:val="32"/>
          <w:szCs w:val="32"/>
          <w:lang w:val="en-US" w:eastAsia="zh-CN"/>
        </w:rPr>
        <w:t>14.87</w:t>
      </w:r>
      <w:r>
        <w:rPr>
          <w:rFonts w:hint="eastAsia" w:ascii="仿宋" w:hAnsi="仿宋" w:eastAsia="仿宋"/>
          <w:sz w:val="32"/>
          <w:szCs w:val="32"/>
        </w:rPr>
        <w:t>万元。</w:t>
      </w:r>
    </w:p>
    <w:p>
      <w:pPr>
        <w:ind w:firstLine="640"/>
        <w:rPr>
          <w:rFonts w:hint="eastAsia"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2</w:t>
      </w:r>
      <w:r>
        <w:rPr>
          <w:rFonts w:hint="eastAsia" w:ascii="黑体" w:hAnsi="黑体" w:eastAsia="黑体"/>
          <w:sz w:val="32"/>
          <w:szCs w:val="32"/>
        </w:rPr>
        <w:t>年一般公共预算支出表的说明</w:t>
      </w:r>
    </w:p>
    <w:p>
      <w:pPr>
        <w:ind w:firstLine="64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198.54</w:t>
      </w:r>
      <w:r>
        <w:rPr>
          <w:rFonts w:hint="eastAsia" w:ascii="仿宋" w:hAnsi="仿宋" w:eastAsia="仿宋"/>
          <w:sz w:val="32"/>
          <w:szCs w:val="32"/>
        </w:rPr>
        <w:t>万元,比20</w:t>
      </w:r>
      <w:r>
        <w:rPr>
          <w:rFonts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 xml:space="preserve"> 年执行数</w:t>
      </w:r>
      <w:r>
        <w:rPr>
          <w:rFonts w:hint="eastAsia" w:ascii="仿宋" w:hAnsi="仿宋" w:eastAsia="仿宋"/>
          <w:sz w:val="32"/>
          <w:szCs w:val="32"/>
          <w:lang w:val="en-US" w:eastAsia="zh-CN"/>
        </w:rPr>
        <w:t>173.57万元，增加24.97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14.39%。</w:t>
      </w:r>
    </w:p>
    <w:p>
      <w:pPr>
        <w:ind w:firstLine="640" w:firstLineChars="200"/>
        <w:rPr>
          <w:rFonts w:hint="eastAsia" w:ascii="仿宋" w:hAnsi="仿宋" w:eastAsia="仿宋"/>
          <w:sz w:val="32"/>
          <w:szCs w:val="32"/>
        </w:rPr>
      </w:pPr>
      <w:r>
        <w:rPr>
          <w:rFonts w:hint="eastAsia" w:ascii="仿宋" w:hAnsi="仿宋" w:eastAsia="仿宋"/>
          <w:sz w:val="32"/>
          <w:szCs w:val="32"/>
        </w:rPr>
        <w:t>主要原因：</w:t>
      </w:r>
      <w:r>
        <w:rPr>
          <w:rFonts w:hint="eastAsia" w:ascii="仿宋" w:hAnsi="仿宋" w:eastAsia="仿宋"/>
          <w:sz w:val="32"/>
          <w:szCs w:val="32"/>
          <w:lang w:eastAsia="zh-CN"/>
        </w:rPr>
        <w:t>人员调整。</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152.47</w:t>
      </w:r>
      <w:r>
        <w:rPr>
          <w:rFonts w:hint="eastAsia" w:ascii="仿宋" w:hAnsi="仿宋" w:eastAsia="仿宋"/>
          <w:sz w:val="32"/>
          <w:szCs w:val="32"/>
        </w:rPr>
        <w:t>万元，占</w:t>
      </w:r>
      <w:r>
        <w:rPr>
          <w:rFonts w:hint="eastAsia" w:ascii="仿宋" w:hAnsi="仿宋" w:eastAsia="仿宋"/>
          <w:sz w:val="32"/>
          <w:szCs w:val="32"/>
          <w:lang w:val="en-US" w:eastAsia="zh-CN"/>
        </w:rPr>
        <w:t>76.8</w:t>
      </w:r>
      <w:r>
        <w:rPr>
          <w:rFonts w:hint="eastAsia" w:ascii="仿宋" w:hAnsi="仿宋" w:eastAsia="仿宋"/>
          <w:sz w:val="32"/>
          <w:szCs w:val="32"/>
        </w:rPr>
        <w:t>%；社会保障和就业支出</w:t>
      </w:r>
      <w:r>
        <w:rPr>
          <w:rFonts w:hint="eastAsia" w:ascii="仿宋" w:hAnsi="仿宋" w:eastAsia="仿宋"/>
          <w:sz w:val="32"/>
          <w:szCs w:val="32"/>
          <w:lang w:val="en-US" w:eastAsia="zh-CN"/>
        </w:rPr>
        <w:t>18.79</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9.47%；</w:t>
      </w:r>
      <w:r>
        <w:rPr>
          <w:rFonts w:hint="eastAsia" w:ascii="仿宋" w:hAnsi="仿宋" w:eastAsia="仿宋"/>
          <w:sz w:val="32"/>
          <w:szCs w:val="32"/>
        </w:rPr>
        <w:t>卫生健康支出</w:t>
      </w:r>
      <w:r>
        <w:rPr>
          <w:rFonts w:hint="eastAsia" w:ascii="仿宋" w:hAnsi="仿宋" w:eastAsia="仿宋"/>
          <w:sz w:val="32"/>
          <w:szCs w:val="32"/>
          <w:lang w:val="en-US" w:eastAsia="zh-CN"/>
        </w:rPr>
        <w:t>12.41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6.2%；</w:t>
      </w:r>
      <w:r>
        <w:rPr>
          <w:rFonts w:hint="eastAsia" w:ascii="仿宋" w:hAnsi="仿宋" w:eastAsia="仿宋"/>
          <w:sz w:val="32"/>
          <w:szCs w:val="32"/>
        </w:rPr>
        <w:t>住房保障支出</w:t>
      </w:r>
      <w:r>
        <w:rPr>
          <w:rFonts w:hint="eastAsia" w:ascii="仿宋" w:hAnsi="仿宋" w:eastAsia="仿宋"/>
          <w:sz w:val="32"/>
          <w:szCs w:val="32"/>
          <w:lang w:val="en-US" w:eastAsia="zh-CN"/>
        </w:rPr>
        <w:t>14.87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7.5%。</w:t>
      </w:r>
    </w:p>
    <w:p>
      <w:pPr>
        <w:ind w:firstLine="640" w:firstLineChars="200"/>
        <w:rPr>
          <w:rFonts w:ascii="仿宋" w:hAnsi="仿宋" w:eastAsia="仿宋"/>
          <w:sz w:val="32"/>
          <w:szCs w:val="32"/>
        </w:rPr>
      </w:pPr>
      <w:r>
        <w:rPr>
          <w:rFonts w:hint="eastAsia" w:ascii="楷体" w:hAnsi="楷体" w:eastAsia="楷体"/>
          <w:sz w:val="32"/>
          <w:szCs w:val="32"/>
        </w:rPr>
        <w:t>（三）一般公共预算当年拨款具体使用情况。</w:t>
      </w:r>
    </w:p>
    <w:p>
      <w:pPr>
        <w:adjustRightInd/>
        <w:snapToGrid/>
        <w:spacing w:before="225" w:after="225"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sz w:val="32"/>
          <w:szCs w:val="32"/>
        </w:rPr>
        <w:t>一般公共服务支出（类）民族事务（款）行政运行（项）</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年预算数为</w:t>
      </w:r>
      <w:r>
        <w:rPr>
          <w:rFonts w:hint="eastAsia" w:ascii="仿宋" w:hAnsi="仿宋" w:eastAsia="仿宋" w:cs="宋体"/>
          <w:color w:val="000000" w:themeColor="text1"/>
          <w:sz w:val="32"/>
          <w:szCs w:val="32"/>
          <w:lang w:val="en-US" w:eastAsia="zh-CN"/>
        </w:rPr>
        <w:t>149.96</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数为</w:t>
      </w:r>
      <w:r>
        <w:rPr>
          <w:rFonts w:hint="eastAsia" w:ascii="仿宋" w:hAnsi="仿宋" w:eastAsia="仿宋" w:cs="宋体"/>
          <w:color w:val="000000" w:themeColor="text1"/>
          <w:sz w:val="32"/>
          <w:szCs w:val="32"/>
          <w:lang w:val="en-US" w:eastAsia="zh-CN"/>
        </w:rPr>
        <w:t>139.81</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eastAsia="zh-CN"/>
        </w:rPr>
        <w:t>增加</w:t>
      </w:r>
      <w:r>
        <w:rPr>
          <w:rFonts w:hint="eastAsia" w:ascii="仿宋" w:hAnsi="仿宋" w:eastAsia="仿宋" w:cs="宋体"/>
          <w:color w:val="000000" w:themeColor="text1"/>
          <w:sz w:val="32"/>
          <w:szCs w:val="32"/>
          <w:lang w:val="en-US" w:eastAsia="zh-CN"/>
        </w:rPr>
        <w:t>12.66</w:t>
      </w:r>
      <w:r>
        <w:rPr>
          <w:rFonts w:hint="eastAsia" w:ascii="仿宋" w:hAnsi="仿宋" w:eastAsia="仿宋" w:cs="宋体"/>
          <w:color w:val="000000" w:themeColor="text1"/>
          <w:sz w:val="32"/>
          <w:szCs w:val="32"/>
        </w:rPr>
        <w:t>万元，增长了</w:t>
      </w:r>
      <w:r>
        <w:rPr>
          <w:rFonts w:hint="eastAsia" w:ascii="仿宋" w:hAnsi="仿宋" w:eastAsia="仿宋" w:cs="宋体"/>
          <w:color w:val="000000" w:themeColor="text1"/>
          <w:sz w:val="32"/>
          <w:szCs w:val="32"/>
          <w:lang w:val="en-US" w:eastAsia="zh-CN"/>
        </w:rPr>
        <w:t>7.26</w:t>
      </w:r>
      <w:r>
        <w:rPr>
          <w:rFonts w:hint="eastAsia" w:ascii="仿宋" w:hAnsi="仿宋" w:eastAsia="仿宋" w:cs="宋体"/>
          <w:color w:val="000000" w:themeColor="text1"/>
          <w:sz w:val="32"/>
          <w:szCs w:val="32"/>
        </w:rPr>
        <w:t>%。</w:t>
      </w:r>
    </w:p>
    <w:p>
      <w:pPr>
        <w:adjustRightInd/>
        <w:snapToGrid/>
        <w:spacing w:before="225" w:after="225"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sz w:val="32"/>
          <w:szCs w:val="32"/>
        </w:rPr>
        <w:t>一般公共服务支出（类）</w:t>
      </w:r>
      <w:r>
        <w:rPr>
          <w:rFonts w:hint="eastAsia" w:ascii="仿宋" w:hAnsi="仿宋" w:eastAsia="仿宋" w:cs="宋体"/>
          <w:color w:val="000000" w:themeColor="text1"/>
          <w:sz w:val="32"/>
          <w:szCs w:val="32"/>
          <w:lang w:eastAsia="zh-CN"/>
        </w:rPr>
        <w:t>政府办公厅（室）及相关机构事务</w:t>
      </w:r>
      <w:r>
        <w:rPr>
          <w:rFonts w:hint="eastAsia" w:ascii="仿宋" w:hAnsi="仿宋" w:eastAsia="仿宋" w:cs="宋体"/>
          <w:color w:val="000000" w:themeColor="text1"/>
          <w:sz w:val="32"/>
          <w:szCs w:val="32"/>
        </w:rPr>
        <w:t>（款）行政</w:t>
      </w:r>
      <w:r>
        <w:rPr>
          <w:rFonts w:hint="eastAsia" w:ascii="仿宋" w:hAnsi="仿宋" w:eastAsia="仿宋" w:cs="宋体"/>
          <w:color w:val="000000" w:themeColor="text1"/>
          <w:sz w:val="32"/>
          <w:szCs w:val="32"/>
          <w:lang w:eastAsia="zh-CN"/>
        </w:rPr>
        <w:t>运行</w:t>
      </w:r>
      <w:r>
        <w:rPr>
          <w:rFonts w:hint="eastAsia" w:ascii="仿宋" w:hAnsi="仿宋" w:eastAsia="仿宋" w:cs="宋体"/>
          <w:color w:val="000000" w:themeColor="text1"/>
          <w:sz w:val="32"/>
          <w:szCs w:val="32"/>
        </w:rPr>
        <w:t>（项）202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年预算数为</w:t>
      </w:r>
      <w:r>
        <w:rPr>
          <w:rFonts w:hint="eastAsia" w:ascii="仿宋" w:hAnsi="仿宋" w:eastAsia="仿宋" w:cs="宋体"/>
          <w:color w:val="000000" w:themeColor="text1"/>
          <w:sz w:val="32"/>
          <w:szCs w:val="32"/>
          <w:lang w:val="en-US" w:eastAsia="zh-CN"/>
        </w:rPr>
        <w:t>2.51</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数为1</w:t>
      </w:r>
      <w:r>
        <w:rPr>
          <w:rFonts w:hint="eastAsia" w:ascii="仿宋" w:hAnsi="仿宋" w:eastAsia="仿宋" w:cs="宋体"/>
          <w:color w:val="000000" w:themeColor="text1"/>
          <w:sz w:val="32"/>
          <w:szCs w:val="32"/>
          <w:lang w:val="en-US" w:eastAsia="zh-CN"/>
        </w:rPr>
        <w:t>.5</w:t>
      </w:r>
      <w:r>
        <w:rPr>
          <w:rFonts w:hint="eastAsia" w:ascii="仿宋" w:hAnsi="仿宋" w:eastAsia="仿宋" w:cs="宋体"/>
          <w:color w:val="000000" w:themeColor="text1"/>
          <w:sz w:val="32"/>
          <w:szCs w:val="32"/>
        </w:rPr>
        <w:t>万元，增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0.5万元，增长67.34%</w:t>
      </w:r>
      <w:r>
        <w:rPr>
          <w:rFonts w:hint="eastAsia" w:ascii="仿宋" w:hAnsi="仿宋" w:eastAsia="仿宋" w:cs="宋体"/>
          <w:color w:val="000000" w:themeColor="text1"/>
          <w:sz w:val="32"/>
          <w:szCs w:val="32"/>
        </w:rPr>
        <w:t>。</w:t>
      </w:r>
      <w:r>
        <w:rPr>
          <w:rFonts w:hint="eastAsia" w:ascii="仿宋" w:hAnsi="仿宋" w:eastAsia="仿宋" w:cs="宋体"/>
          <w:color w:val="000000" w:themeColor="text1"/>
          <w:sz w:val="32"/>
          <w:szCs w:val="32"/>
          <w:lang w:val="en-US" w:eastAsia="zh-CN"/>
        </w:rPr>
        <w:t xml:space="preserve">  </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仿宋_GB2312"/>
          <w:sz w:val="32"/>
          <w:szCs w:val="32"/>
        </w:rPr>
        <w:t>社会保障和就业支出（类）行政事业单位离退休（款）机关事业单位基本养老保险费支出（项）</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18.56</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w:t>
      </w:r>
      <w:r>
        <w:rPr>
          <w:rFonts w:hint="eastAsia" w:ascii="仿宋" w:hAnsi="仿宋" w:eastAsia="仿宋" w:cs="宋体"/>
          <w:color w:val="000000" w:themeColor="text1"/>
          <w:sz w:val="32"/>
          <w:szCs w:val="32"/>
          <w:lang w:val="en-US" w:eastAsia="zh-CN"/>
        </w:rPr>
        <w:t>12.62</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eastAsia="zh-CN"/>
        </w:rPr>
        <w:t>增加</w:t>
      </w:r>
      <w:r>
        <w:rPr>
          <w:rFonts w:hint="eastAsia" w:ascii="仿宋" w:hAnsi="仿宋" w:eastAsia="仿宋" w:cs="宋体"/>
          <w:color w:val="000000" w:themeColor="text1"/>
          <w:sz w:val="32"/>
          <w:szCs w:val="32"/>
          <w:lang w:val="en-US" w:eastAsia="zh-CN"/>
        </w:rPr>
        <w:t>5.94万元，增长47.07%</w:t>
      </w:r>
      <w:r>
        <w:rPr>
          <w:rFonts w:hint="eastAsia" w:ascii="仿宋" w:hAnsi="仿宋" w:eastAsia="仿宋" w:cs="宋体"/>
          <w:color w:val="000000" w:themeColor="text1"/>
          <w:sz w:val="32"/>
          <w:szCs w:val="32"/>
        </w:rPr>
        <w:t>。</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仿宋_GB2312"/>
          <w:sz w:val="32"/>
          <w:szCs w:val="32"/>
        </w:rPr>
        <w:t>社会保障和就业支出（类）</w:t>
      </w:r>
      <w:r>
        <w:rPr>
          <w:rFonts w:hint="eastAsia" w:ascii="仿宋" w:hAnsi="仿宋" w:eastAsia="仿宋" w:cs="宋体"/>
          <w:color w:val="000000" w:themeColor="text1"/>
          <w:sz w:val="32"/>
          <w:szCs w:val="32"/>
        </w:rPr>
        <w:t>财政对其他社会</w:t>
      </w:r>
      <w:r>
        <w:rPr>
          <w:rFonts w:hint="eastAsia" w:ascii="仿宋" w:hAnsi="仿宋" w:eastAsia="仿宋" w:cs="宋体"/>
          <w:color w:val="000000" w:themeColor="text1"/>
          <w:sz w:val="32"/>
          <w:szCs w:val="32"/>
          <w:lang w:eastAsia="zh-CN"/>
        </w:rPr>
        <w:t>保障基金</w:t>
      </w:r>
      <w:r>
        <w:rPr>
          <w:rFonts w:hint="eastAsia" w:ascii="仿宋" w:hAnsi="仿宋" w:eastAsia="仿宋" w:cs="宋体"/>
          <w:color w:val="000000" w:themeColor="text1"/>
          <w:sz w:val="32"/>
          <w:szCs w:val="32"/>
        </w:rPr>
        <w:t>的补助（款）财政对工伤保险的补助（项）202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年预算数0.</w:t>
      </w:r>
      <w:r>
        <w:rPr>
          <w:rFonts w:hint="eastAsia" w:ascii="仿宋" w:hAnsi="仿宋" w:eastAsia="仿宋" w:cs="宋体"/>
          <w:color w:val="000000" w:themeColor="text1"/>
          <w:sz w:val="32"/>
          <w:szCs w:val="32"/>
          <w:lang w:val="en-US" w:eastAsia="zh-CN"/>
        </w:rPr>
        <w:t>23</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数为</w:t>
      </w:r>
      <w:r>
        <w:rPr>
          <w:rFonts w:hint="eastAsia" w:ascii="仿宋" w:hAnsi="仿宋" w:eastAsia="仿宋" w:cs="宋体"/>
          <w:color w:val="000000" w:themeColor="text1"/>
          <w:sz w:val="32"/>
          <w:szCs w:val="32"/>
          <w:lang w:val="en-US" w:eastAsia="zh-CN"/>
        </w:rPr>
        <w:t>0.16</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eastAsia="zh-CN"/>
        </w:rPr>
        <w:t>增加</w:t>
      </w:r>
      <w:r>
        <w:rPr>
          <w:rFonts w:hint="eastAsia" w:ascii="仿宋" w:hAnsi="仿宋" w:eastAsia="仿宋" w:cs="宋体"/>
          <w:color w:val="000000" w:themeColor="text1"/>
          <w:sz w:val="32"/>
          <w:szCs w:val="32"/>
          <w:lang w:val="en-US" w:eastAsia="zh-CN"/>
        </w:rPr>
        <w:t>0.07万元，增长43.75%</w:t>
      </w:r>
      <w:r>
        <w:rPr>
          <w:rFonts w:hint="eastAsia" w:ascii="仿宋" w:hAnsi="仿宋" w:eastAsia="仿宋" w:cs="宋体"/>
          <w:color w:val="000000" w:themeColor="text1"/>
          <w:sz w:val="32"/>
          <w:szCs w:val="32"/>
        </w:rPr>
        <w:t>。</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卫生健康支出（类）</w:t>
      </w:r>
      <w:r>
        <w:rPr>
          <w:rFonts w:hint="eastAsia" w:ascii="仿宋" w:hAnsi="仿宋" w:eastAsia="仿宋" w:cs="宋体"/>
          <w:color w:val="000000"/>
          <w:sz w:val="32"/>
          <w:szCs w:val="32"/>
        </w:rPr>
        <w:t>行政事业单位医疗支出（款）公务员医疗补助（项）</w:t>
      </w: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2.32</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数为</w:t>
      </w:r>
      <w:r>
        <w:rPr>
          <w:rFonts w:hint="eastAsia" w:ascii="仿宋" w:hAnsi="仿宋" w:eastAsia="仿宋" w:cs="宋体"/>
          <w:color w:val="000000" w:themeColor="text1"/>
          <w:sz w:val="32"/>
          <w:szCs w:val="32"/>
          <w:lang w:val="en-US" w:eastAsia="zh-CN"/>
        </w:rPr>
        <w:t>2.37</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eastAsia="zh-CN"/>
        </w:rPr>
        <w:t>减少</w:t>
      </w:r>
      <w:r>
        <w:rPr>
          <w:rFonts w:hint="eastAsia" w:ascii="仿宋" w:hAnsi="仿宋" w:eastAsia="仿宋" w:cs="宋体"/>
          <w:color w:val="000000" w:themeColor="text1"/>
          <w:sz w:val="32"/>
          <w:szCs w:val="32"/>
          <w:lang w:val="en-US" w:eastAsia="zh-CN"/>
        </w:rPr>
        <w:t>0.05万元，下降2.11%</w:t>
      </w:r>
      <w:r>
        <w:rPr>
          <w:rFonts w:hint="eastAsia" w:ascii="仿宋" w:hAnsi="仿宋" w:eastAsia="仿宋" w:cs="宋体"/>
          <w:color w:val="000000" w:themeColor="text1"/>
          <w:sz w:val="32"/>
          <w:szCs w:val="32"/>
        </w:rPr>
        <w:t>。</w:t>
      </w:r>
      <w:r>
        <w:rPr>
          <w:rFonts w:ascii="仿宋" w:hAnsi="仿宋" w:eastAsia="仿宋" w:cs="宋体"/>
          <w:color w:val="000000" w:themeColor="text1"/>
          <w:sz w:val="32"/>
          <w:szCs w:val="32"/>
        </w:rPr>
        <w:t xml:space="preserve"> </w:t>
      </w:r>
    </w:p>
    <w:p>
      <w:pPr>
        <w:adjustRightInd/>
        <w:snapToGrid/>
        <w:spacing w:after="0" w:line="500" w:lineRule="exact"/>
        <w:ind w:firstLine="64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卫生健康支出（类）财政对基本医疗保险基金的补助支出（款）财政对职工基本医疗保险基金的补助支出（项）202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10.09</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数为</w:t>
      </w:r>
      <w:r>
        <w:rPr>
          <w:rFonts w:hint="eastAsia" w:ascii="仿宋" w:hAnsi="仿宋" w:eastAsia="仿宋" w:cs="宋体"/>
          <w:color w:val="000000" w:themeColor="text1"/>
          <w:sz w:val="32"/>
          <w:szCs w:val="32"/>
          <w:lang w:val="en-US" w:eastAsia="zh-CN"/>
        </w:rPr>
        <w:t>6.86</w:t>
      </w:r>
      <w:r>
        <w:rPr>
          <w:rFonts w:hint="eastAsia" w:ascii="仿宋" w:hAnsi="仿宋" w:eastAsia="仿宋" w:cs="宋体"/>
          <w:color w:val="000000" w:themeColor="text1"/>
          <w:sz w:val="32"/>
          <w:szCs w:val="32"/>
        </w:rPr>
        <w:t>万元，增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3.23万元，增长47.09%</w:t>
      </w:r>
      <w:r>
        <w:rPr>
          <w:rFonts w:hint="eastAsia" w:ascii="仿宋" w:hAnsi="仿宋" w:eastAsia="仿宋" w:cs="宋体"/>
          <w:color w:val="000000" w:themeColor="text1"/>
          <w:sz w:val="32"/>
          <w:szCs w:val="32"/>
        </w:rPr>
        <w:t>。</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住房保障支出（类）住房改革支出（款）住房公积金（项）202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14.87</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eastAsia="zh-CN"/>
        </w:rPr>
        <w:t>执行</w:t>
      </w:r>
      <w:r>
        <w:rPr>
          <w:rFonts w:hint="eastAsia" w:ascii="仿宋" w:hAnsi="仿宋" w:eastAsia="仿宋" w:cs="宋体"/>
          <w:color w:val="000000" w:themeColor="text1"/>
          <w:sz w:val="32"/>
          <w:szCs w:val="32"/>
        </w:rPr>
        <w:t>数</w:t>
      </w:r>
      <w:r>
        <w:rPr>
          <w:rFonts w:hint="eastAsia" w:ascii="仿宋" w:hAnsi="仿宋" w:eastAsia="仿宋" w:cs="宋体"/>
          <w:color w:val="000000" w:themeColor="text1"/>
          <w:sz w:val="32"/>
          <w:szCs w:val="32"/>
          <w:lang w:val="en-US" w:eastAsia="zh-CN"/>
        </w:rPr>
        <w:t>10.25</w:t>
      </w:r>
      <w:r>
        <w:rPr>
          <w:rFonts w:hint="eastAsia" w:ascii="仿宋" w:hAnsi="仿宋" w:eastAsia="仿宋" w:cs="宋体"/>
          <w:color w:val="000000" w:themeColor="text1"/>
          <w:sz w:val="32"/>
          <w:szCs w:val="32"/>
        </w:rPr>
        <w:t>万元，增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4.62万元，增长45.08%</w:t>
      </w:r>
      <w:r>
        <w:rPr>
          <w:rFonts w:hint="eastAsia" w:ascii="仿宋" w:hAnsi="仿宋" w:eastAsia="仿宋" w:cs="宋体"/>
          <w:color w:val="000000" w:themeColor="text1"/>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六、202</w:t>
      </w:r>
      <w:r>
        <w:rPr>
          <w:rFonts w:hint="eastAsia" w:ascii="黑体" w:hAnsi="黑体" w:eastAsia="黑体"/>
          <w:sz w:val="32"/>
          <w:szCs w:val="32"/>
          <w:lang w:val="en-US" w:eastAsia="zh-CN"/>
        </w:rPr>
        <w:t>2</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197.04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176.03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21.01</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七、202</w:t>
      </w:r>
      <w:r>
        <w:rPr>
          <w:rFonts w:hint="eastAsia" w:ascii="黑体" w:hAnsi="黑体" w:eastAsia="黑体"/>
          <w:sz w:val="32"/>
          <w:szCs w:val="32"/>
          <w:lang w:val="en-US" w:eastAsia="zh-CN"/>
        </w:rPr>
        <w:t>2</w:t>
      </w:r>
      <w:r>
        <w:rPr>
          <w:rFonts w:hint="eastAsia" w:ascii="黑体" w:hAnsi="黑体" w:eastAsia="黑体"/>
          <w:sz w:val="32"/>
          <w:szCs w:val="32"/>
        </w:rPr>
        <w:t>年度一般公共预算“三公”经费预算情况说明</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年“三公”经费预算数</w:t>
      </w:r>
      <w:r>
        <w:rPr>
          <w:rFonts w:hint="eastAsia" w:ascii="仿宋" w:hAnsi="仿宋" w:eastAsia="仿宋" w:cs="宋体"/>
          <w:color w:val="000000" w:themeColor="text1"/>
          <w:sz w:val="32"/>
          <w:szCs w:val="32"/>
          <w:lang w:val="en-US" w:eastAsia="zh-CN"/>
        </w:rPr>
        <w:t>4.48</w:t>
      </w:r>
      <w:r>
        <w:rPr>
          <w:rFonts w:hint="eastAsia" w:ascii="仿宋" w:hAnsi="仿宋" w:eastAsia="仿宋" w:cs="宋体"/>
          <w:color w:val="000000" w:themeColor="text1"/>
          <w:sz w:val="32"/>
          <w:szCs w:val="32"/>
        </w:rPr>
        <w:t>万元。其中：因公出国（境）费0万元，公务用车购置及运行费</w:t>
      </w:r>
      <w:r>
        <w:rPr>
          <w:rFonts w:hint="eastAsia" w:ascii="仿宋" w:hAnsi="仿宋" w:eastAsia="仿宋" w:cs="宋体"/>
          <w:color w:val="000000" w:themeColor="text1"/>
          <w:sz w:val="32"/>
          <w:szCs w:val="32"/>
          <w:lang w:val="en-US" w:eastAsia="zh-CN"/>
        </w:rPr>
        <w:t>4.2</w:t>
      </w:r>
      <w:r>
        <w:rPr>
          <w:rFonts w:hint="eastAsia" w:ascii="仿宋" w:hAnsi="仿宋" w:eastAsia="仿宋" w:cs="宋体"/>
          <w:color w:val="000000" w:themeColor="text1"/>
          <w:sz w:val="32"/>
          <w:szCs w:val="32"/>
        </w:rPr>
        <w:t>万元，均为公务用车运行费，实有车辆2台；公务接待费</w:t>
      </w:r>
      <w:r>
        <w:rPr>
          <w:rFonts w:hint="eastAsia" w:ascii="仿宋" w:hAnsi="仿宋" w:eastAsia="仿宋" w:cs="宋体"/>
          <w:color w:val="000000" w:themeColor="text1"/>
          <w:sz w:val="32"/>
          <w:szCs w:val="32"/>
          <w:lang w:val="en-US" w:eastAsia="zh-CN"/>
        </w:rPr>
        <w:t>0.28</w:t>
      </w:r>
      <w:r>
        <w:rPr>
          <w:rFonts w:hint="eastAsia" w:ascii="仿宋" w:hAnsi="仿宋" w:eastAsia="仿宋" w:cs="宋体"/>
          <w:color w:val="000000" w:themeColor="text1"/>
          <w:sz w:val="32"/>
          <w:szCs w:val="32"/>
        </w:rPr>
        <w:t>万元。</w:t>
      </w:r>
    </w:p>
    <w:p>
      <w:pPr>
        <w:adjustRightInd/>
        <w:snapToGrid/>
        <w:spacing w:before="225" w:after="225" w:line="500" w:lineRule="exact"/>
        <w:ind w:firstLine="480"/>
        <w:jc w:val="both"/>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年“三公”经费预算数比20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3.84万元，</w:t>
      </w:r>
      <w:r>
        <w:rPr>
          <w:rFonts w:hint="eastAsia" w:ascii="仿宋" w:hAnsi="仿宋" w:eastAsia="仿宋" w:cs="宋体"/>
          <w:color w:val="000000" w:themeColor="text1"/>
          <w:sz w:val="32"/>
          <w:szCs w:val="32"/>
        </w:rPr>
        <w:t>增</w:t>
      </w:r>
      <w:r>
        <w:rPr>
          <w:rFonts w:hint="eastAsia" w:ascii="仿宋" w:hAnsi="仿宋" w:eastAsia="仿宋" w:cs="宋体"/>
          <w:color w:val="000000" w:themeColor="text1"/>
          <w:sz w:val="32"/>
          <w:szCs w:val="32"/>
          <w:lang w:eastAsia="zh-CN"/>
        </w:rPr>
        <w:t>加</w:t>
      </w:r>
      <w:r>
        <w:rPr>
          <w:rFonts w:hint="eastAsia" w:ascii="仿宋" w:hAnsi="仿宋" w:eastAsia="仿宋" w:cs="宋体"/>
          <w:color w:val="000000" w:themeColor="text1"/>
          <w:sz w:val="32"/>
          <w:szCs w:val="32"/>
          <w:lang w:val="en-US" w:eastAsia="zh-CN"/>
        </w:rPr>
        <w:t>0.64万元，增长16.67%</w:t>
      </w:r>
      <w:r>
        <w:rPr>
          <w:rFonts w:hint="eastAsia" w:ascii="仿宋" w:hAnsi="仿宋" w:eastAsia="仿宋" w:cs="宋体"/>
          <w:color w:val="000000" w:themeColor="text1"/>
          <w:sz w:val="32"/>
          <w:szCs w:val="32"/>
        </w:rPr>
        <w:t>。公务用车购置及运行费</w:t>
      </w:r>
      <w:r>
        <w:rPr>
          <w:rFonts w:hint="eastAsia" w:ascii="仿宋" w:hAnsi="仿宋" w:eastAsia="仿宋" w:cs="宋体"/>
          <w:color w:val="000000" w:themeColor="text1"/>
          <w:sz w:val="32"/>
          <w:szCs w:val="32"/>
          <w:lang w:val="en-US" w:eastAsia="zh-CN"/>
        </w:rPr>
        <w:t>4.2</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eastAsia="zh-CN"/>
        </w:rPr>
        <w:t>，比</w:t>
      </w:r>
      <w:r>
        <w:rPr>
          <w:rFonts w:hint="eastAsia" w:ascii="仿宋" w:hAnsi="仿宋" w:eastAsia="仿宋" w:cs="宋体"/>
          <w:color w:val="000000" w:themeColor="text1"/>
          <w:sz w:val="32"/>
          <w:szCs w:val="32"/>
          <w:lang w:val="en-US" w:eastAsia="zh-CN"/>
        </w:rPr>
        <w:t>2021年预算数3.6万元，增加0.6万元，增长16.67%。公务接待费比2021年预算数0.24万元，增加0.04万元，增长16.67%。</w:t>
      </w:r>
    </w:p>
    <w:p>
      <w:pPr>
        <w:adjustRightInd/>
        <w:snapToGrid/>
        <w:spacing w:before="225" w:after="225" w:line="500" w:lineRule="exact"/>
        <w:ind w:firstLine="480"/>
        <w:jc w:val="both"/>
        <w:rPr>
          <w:rFonts w:hint="eastAsia" w:ascii="仿宋" w:hAnsi="仿宋" w:eastAsia="仿宋" w:cs="宋体"/>
          <w:color w:val="000000" w:themeColor="text1"/>
          <w:sz w:val="32"/>
          <w:szCs w:val="32"/>
        </w:rPr>
      </w:pPr>
      <w:r>
        <w:rPr>
          <w:rFonts w:hint="eastAsia" w:ascii="仿宋" w:hAnsi="仿宋" w:eastAsia="仿宋" w:cs="宋体"/>
          <w:color w:val="000000" w:themeColor="text1"/>
          <w:sz w:val="32"/>
          <w:szCs w:val="32"/>
        </w:rPr>
        <w:t>主要原因</w:t>
      </w:r>
      <w:r>
        <w:rPr>
          <w:rFonts w:hint="eastAsia" w:ascii="仿宋" w:hAnsi="仿宋" w:eastAsia="仿宋" w:cs="宋体"/>
          <w:color w:val="000000" w:themeColor="text1"/>
          <w:sz w:val="32"/>
          <w:szCs w:val="32"/>
          <w:lang w:val="en-US" w:eastAsia="zh-CN"/>
        </w:rPr>
        <w:t xml:space="preserve"> ：人员调整。</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w:t>
      </w:r>
      <w:r>
        <w:rPr>
          <w:rFonts w:hint="eastAsia" w:ascii="仿宋" w:hAnsi="仿宋" w:eastAsia="仿宋" w:cs="宋体"/>
          <w:color w:val="000000" w:themeColor="text1"/>
          <w:sz w:val="32"/>
          <w:szCs w:val="32"/>
          <w:lang w:eastAsia="zh-CN"/>
        </w:rPr>
        <w:t>将</w:t>
      </w:r>
      <w:r>
        <w:rPr>
          <w:rFonts w:hint="eastAsia" w:ascii="仿宋" w:hAnsi="仿宋" w:eastAsia="仿宋" w:cs="宋体"/>
          <w:color w:val="000000" w:themeColor="text1"/>
          <w:sz w:val="32"/>
          <w:szCs w:val="32"/>
        </w:rPr>
        <w:t>切实缩减“三公”经费支出。</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八、202</w:t>
      </w:r>
      <w:r>
        <w:rPr>
          <w:rFonts w:hint="eastAsia" w:ascii="黑体" w:hAnsi="黑体" w:eastAsia="黑体"/>
          <w:sz w:val="32"/>
          <w:szCs w:val="32"/>
          <w:lang w:val="en-US" w:eastAsia="zh-CN"/>
        </w:rPr>
        <w:t>2</w:t>
      </w:r>
      <w:r>
        <w:rPr>
          <w:rFonts w:hint="eastAsia" w:ascii="黑体" w:hAnsi="黑体" w:eastAsia="黑体"/>
          <w:sz w:val="32"/>
          <w:szCs w:val="32"/>
        </w:rPr>
        <w:t>年度政府性基金预算支出情况说明</w:t>
      </w:r>
    </w:p>
    <w:p>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西藏朗县</w:t>
      </w:r>
      <w:r>
        <w:rPr>
          <w:rFonts w:hint="eastAsia" w:ascii="仿宋_GB2312" w:hAnsi="仿宋_GB2312" w:eastAsia="仿宋_GB2312" w:cs="仿宋_GB2312"/>
          <w:color w:val="000000"/>
          <w:sz w:val="32"/>
          <w:szCs w:val="32"/>
          <w:lang w:eastAsia="zh-CN"/>
        </w:rPr>
        <w:t>孜列寺管理委员会</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年度无政府性基金安排的支出</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3"/>
        <w:gridCol w:w="2195"/>
        <w:gridCol w:w="1005"/>
        <w:gridCol w:w="555"/>
        <w:gridCol w:w="1257"/>
        <w:gridCol w:w="1005"/>
        <w:gridCol w:w="555"/>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903"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附表4-13</w:t>
            </w:r>
          </w:p>
        </w:tc>
        <w:tc>
          <w:tcPr>
            <w:tcW w:w="219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25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86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8336"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3098" w:type="dxa"/>
            <w:gridSpan w:val="2"/>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22"/>
                <w:szCs w:val="22"/>
                <w:u w:val="none"/>
              </w:rPr>
            </w:pPr>
          </w:p>
        </w:tc>
        <w:tc>
          <w:tcPr>
            <w:tcW w:w="1005"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555" w:type="dxa"/>
            <w:shd w:val="clear" w:color="auto" w:fill="auto"/>
            <w:vAlign w:val="center"/>
          </w:tcPr>
          <w:p>
            <w:pPr>
              <w:rPr>
                <w:rFonts w:hint="eastAsia" w:ascii="宋体" w:hAnsi="宋体" w:eastAsia="宋体" w:cs="宋体"/>
                <w:i w:val="0"/>
                <w:color w:val="000000"/>
                <w:sz w:val="22"/>
                <w:szCs w:val="22"/>
                <w:u w:val="none"/>
              </w:rPr>
            </w:pPr>
          </w:p>
        </w:tc>
        <w:tc>
          <w:tcPr>
            <w:tcW w:w="1257"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1005" w:type="dxa"/>
            <w:shd w:val="clear" w:color="auto" w:fill="auto"/>
            <w:vAlign w:val="center"/>
          </w:tcPr>
          <w:p>
            <w:pPr>
              <w:rPr>
                <w:rFonts w:hint="eastAsia" w:ascii="宋体" w:hAnsi="宋体" w:eastAsia="宋体" w:cs="宋体"/>
                <w:i w:val="0"/>
                <w:color w:val="000000"/>
                <w:sz w:val="22"/>
                <w:szCs w:val="22"/>
                <w:u w:val="none"/>
              </w:rPr>
            </w:pPr>
          </w:p>
        </w:tc>
        <w:tc>
          <w:tcPr>
            <w:tcW w:w="555" w:type="dxa"/>
            <w:tcBorders>
              <w:top w:val="single" w:color="FFFFFF" w:sz="4" w:space="0"/>
              <w:left w:val="single" w:color="FFFFFF" w:sz="4" w:space="0"/>
              <w:right w:val="single" w:color="FFFFFF" w:sz="4" w:space="0"/>
            </w:tcBorders>
            <w:shd w:val="clear" w:color="auto" w:fill="auto"/>
            <w:vAlign w:val="center"/>
          </w:tcPr>
          <w:p>
            <w:pPr>
              <w:rPr>
                <w:rFonts w:hint="eastAsia" w:ascii="宋体" w:hAnsi="宋体" w:eastAsia="宋体" w:cs="宋体"/>
                <w:i w:val="0"/>
                <w:color w:val="000000"/>
                <w:sz w:val="18"/>
                <w:szCs w:val="18"/>
                <w:u w:val="none"/>
              </w:rPr>
            </w:pPr>
          </w:p>
        </w:tc>
        <w:tc>
          <w:tcPr>
            <w:tcW w:w="861"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0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单位/科目编码</w:t>
            </w:r>
          </w:p>
        </w:tc>
        <w:tc>
          <w:tcPr>
            <w:tcW w:w="21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单位/科目名称</w:t>
            </w:r>
          </w:p>
        </w:tc>
        <w:tc>
          <w:tcPr>
            <w:tcW w:w="100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372"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861"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90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1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00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5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25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对个人和家庭补助</w:t>
            </w:r>
          </w:p>
        </w:tc>
        <w:tc>
          <w:tcPr>
            <w:tcW w:w="10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w:t>
            </w:r>
          </w:p>
        </w:tc>
        <w:tc>
          <w:tcPr>
            <w:tcW w:w="55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86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903"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219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100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jc w:val="right"/>
              <w:rPr>
                <w:rFonts w:hint="eastAsia" w:ascii="宋体" w:hAnsi="宋体" w:eastAsia="宋体" w:cs="宋体"/>
                <w:i w:val="0"/>
                <w:color w:val="000000"/>
                <w:sz w:val="22"/>
                <w:szCs w:val="22"/>
                <w:u w:val="none"/>
              </w:rPr>
            </w:pPr>
          </w:p>
        </w:tc>
        <w:tc>
          <w:tcPr>
            <w:tcW w:w="55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57"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61"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ind w:firstLine="640"/>
        <w:rPr>
          <w:rFonts w:hint="eastAsia" w:ascii="仿宋_GB2312" w:hAnsi="仿宋_GB2312" w:eastAsia="仿宋_GB2312" w:cs="仿宋_GB2312"/>
          <w:color w:val="000000"/>
          <w:sz w:val="32"/>
          <w:szCs w:val="32"/>
        </w:rPr>
      </w:pPr>
    </w:p>
    <w:p>
      <w:pPr>
        <w:ind w:firstLine="640"/>
        <w:rPr>
          <w:rFonts w:hint="eastAsia" w:ascii="黑体" w:hAnsi="黑体" w:eastAsia="黑体"/>
          <w:sz w:val="32"/>
          <w:szCs w:val="32"/>
        </w:rPr>
      </w:pPr>
      <w:r>
        <w:rPr>
          <w:rFonts w:hint="eastAsia" w:ascii="黑体" w:hAnsi="黑体" w:eastAsia="黑体"/>
          <w:sz w:val="32"/>
          <w:szCs w:val="32"/>
        </w:rPr>
        <w:t>九、其他重要事项的情况说明</w:t>
      </w:r>
    </w:p>
    <w:p>
      <w:pPr>
        <w:ind w:firstLine="64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年机关运行经费财政拨款预算</w:t>
      </w:r>
      <w:r>
        <w:rPr>
          <w:rFonts w:hint="eastAsia" w:ascii="仿宋" w:hAnsi="仿宋" w:eastAsia="仿宋" w:cs="宋体"/>
          <w:color w:val="000000" w:themeColor="text1"/>
          <w:sz w:val="32"/>
          <w:szCs w:val="32"/>
          <w:lang w:val="en-US" w:eastAsia="zh-CN"/>
        </w:rPr>
        <w:t>21.</w:t>
      </w:r>
      <w:bookmarkStart w:id="0" w:name="_GoBack"/>
      <w:bookmarkEnd w:id="0"/>
      <w:r>
        <w:rPr>
          <w:rFonts w:hint="eastAsia" w:ascii="仿宋" w:hAnsi="仿宋" w:eastAsia="仿宋" w:cs="宋体"/>
          <w:color w:val="000000" w:themeColor="text1"/>
          <w:sz w:val="32"/>
          <w:szCs w:val="32"/>
          <w:lang w:val="en-US" w:eastAsia="zh-CN"/>
        </w:rPr>
        <w:t>01</w:t>
      </w:r>
      <w:r>
        <w:rPr>
          <w:rFonts w:hint="eastAsia" w:ascii="仿宋" w:hAnsi="仿宋" w:eastAsia="仿宋" w:cs="宋体"/>
          <w:color w:val="000000" w:themeColor="text1"/>
          <w:sz w:val="32"/>
          <w:szCs w:val="32"/>
        </w:rPr>
        <w:t>万元，比20</w:t>
      </w:r>
      <w:r>
        <w:rPr>
          <w:rFonts w:hint="eastAsia" w:ascii="仿宋" w:hAnsi="仿宋" w:eastAsia="仿宋" w:cs="宋体"/>
          <w:color w:val="000000" w:themeColor="text1"/>
          <w:sz w:val="32"/>
          <w:szCs w:val="32"/>
          <w:lang w:val="en-US" w:eastAsia="zh-CN"/>
        </w:rPr>
        <w:t>21</w:t>
      </w:r>
      <w:r>
        <w:rPr>
          <w:rFonts w:hint="eastAsia" w:ascii="仿宋" w:hAnsi="仿宋" w:eastAsia="仿宋" w:cs="宋体"/>
          <w:color w:val="000000" w:themeColor="text1"/>
          <w:sz w:val="32"/>
          <w:szCs w:val="32"/>
        </w:rPr>
        <w:t>年预算数</w:t>
      </w:r>
      <w:r>
        <w:rPr>
          <w:rFonts w:hint="eastAsia" w:ascii="仿宋" w:hAnsi="仿宋" w:eastAsia="仿宋" w:cs="宋体"/>
          <w:color w:val="000000" w:themeColor="text1"/>
          <w:sz w:val="32"/>
          <w:szCs w:val="32"/>
          <w:lang w:val="en-US" w:eastAsia="zh-CN"/>
        </w:rPr>
        <w:t>17.6</w:t>
      </w:r>
      <w:r>
        <w:rPr>
          <w:rFonts w:hint="eastAsia" w:ascii="仿宋" w:hAnsi="仿宋" w:eastAsia="仿宋" w:cs="宋体"/>
          <w:color w:val="000000" w:themeColor="text1"/>
          <w:sz w:val="32"/>
          <w:szCs w:val="32"/>
          <w:lang w:eastAsia="zh-CN"/>
        </w:rPr>
        <w:t>万元，增加</w:t>
      </w:r>
      <w:r>
        <w:rPr>
          <w:rFonts w:hint="eastAsia" w:ascii="仿宋" w:hAnsi="仿宋" w:eastAsia="仿宋" w:cs="宋体"/>
          <w:color w:val="000000" w:themeColor="text1"/>
          <w:sz w:val="32"/>
          <w:szCs w:val="32"/>
          <w:lang w:val="en-US" w:eastAsia="zh-CN"/>
        </w:rPr>
        <w:t>3.41</w:t>
      </w:r>
      <w:r>
        <w:rPr>
          <w:rFonts w:hint="eastAsia" w:ascii="仿宋" w:hAnsi="仿宋" w:eastAsia="仿宋" w:cs="宋体"/>
          <w:color w:val="000000" w:themeColor="text1"/>
          <w:sz w:val="32"/>
          <w:szCs w:val="32"/>
        </w:rPr>
        <w:t>万元,</w:t>
      </w:r>
      <w:r>
        <w:rPr>
          <w:rFonts w:hint="eastAsia" w:ascii="仿宋" w:hAnsi="仿宋" w:eastAsia="仿宋" w:cs="宋体"/>
          <w:color w:val="000000" w:themeColor="text1"/>
          <w:sz w:val="32"/>
          <w:szCs w:val="32"/>
          <w:lang w:eastAsia="zh-CN"/>
        </w:rPr>
        <w:t>增长</w:t>
      </w:r>
      <w:r>
        <w:rPr>
          <w:rFonts w:hint="eastAsia" w:ascii="仿宋" w:hAnsi="仿宋" w:eastAsia="仿宋" w:cs="宋体"/>
          <w:color w:val="000000" w:themeColor="text1"/>
          <w:sz w:val="32"/>
          <w:szCs w:val="32"/>
          <w:lang w:val="en-US" w:eastAsia="zh-CN"/>
        </w:rPr>
        <w:t>19.38</w:t>
      </w:r>
      <w:r>
        <w:rPr>
          <w:rFonts w:hint="eastAsia" w:ascii="仿宋" w:hAnsi="仿宋" w:eastAsia="仿宋" w:cs="宋体"/>
          <w:color w:val="000000" w:themeColor="text1"/>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西藏朗县孜列寺管委会202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年预算未安排政府采购业务。</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adjustRightInd/>
        <w:snapToGrid/>
        <w:spacing w:before="225" w:after="225" w:line="500" w:lineRule="exact"/>
        <w:ind w:firstLine="48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截止20</w:t>
      </w:r>
      <w:r>
        <w:rPr>
          <w:rFonts w:hint="eastAsia" w:ascii="仿宋" w:hAnsi="仿宋" w:eastAsia="仿宋" w:cs="宋体"/>
          <w:color w:val="000000" w:themeColor="text1"/>
          <w:sz w:val="32"/>
          <w:szCs w:val="32"/>
          <w:lang w:val="en-US" w:eastAsia="zh-CN"/>
        </w:rPr>
        <w:t>22</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18</w:t>
      </w:r>
      <w:r>
        <w:rPr>
          <w:rFonts w:hint="eastAsia" w:ascii="仿宋" w:hAnsi="仿宋" w:eastAsia="仿宋" w:cs="宋体"/>
          <w:color w:val="000000" w:themeColor="text1"/>
          <w:sz w:val="32"/>
          <w:szCs w:val="32"/>
        </w:rPr>
        <w:t>日，西藏朗县孜列寺管委会共有车辆2辆均为一般公务用车车辆。202</w:t>
      </w:r>
      <w:r>
        <w:rPr>
          <w:rFonts w:hint="eastAsia" w:ascii="仿宋" w:hAnsi="仿宋" w:eastAsia="仿宋" w:cs="宋体"/>
          <w:color w:val="000000" w:themeColor="text1"/>
          <w:sz w:val="32"/>
          <w:szCs w:val="32"/>
          <w:lang w:val="en-US" w:eastAsia="zh-CN"/>
        </w:rPr>
        <w:t>2</w:t>
      </w:r>
      <w:r>
        <w:rPr>
          <w:rFonts w:hint="eastAsia" w:ascii="仿宋" w:hAnsi="仿宋" w:eastAsia="仿宋" w:cs="宋体"/>
          <w:color w:val="000000" w:themeColor="text1"/>
          <w:sz w:val="32"/>
          <w:szCs w:val="32"/>
        </w:rPr>
        <w:t>年部门预算未安排车辆购置。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（四）2021年预算绩效目标管理情况。</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实行绩效目标管理10个，资金141.07万元。其中：工资性支出125.45万元；其他社会保险缴费0.23万元；其他工资福利支出4.51万元；机关事业单位养老保险缴费18.56万元；城镇职工基本医疗保险缴费10.09万元；公务员医疗补助2.32万元；住房公积金14.87万元；商品和服务支出18.50万元；工会经费2.51万元；寺管会党建经费1.5万元；占年初收入预算100%。</w:t>
      </w:r>
    </w:p>
    <w:p>
      <w:pPr>
        <w:ind w:firstLine="640"/>
        <w:rPr>
          <w:rFonts w:hint="eastAsia" w:ascii="仿宋" w:hAnsi="仿宋" w:eastAsia="仿宋" w:cs="宋体"/>
          <w:color w:val="000000" w:themeColor="text1"/>
          <w:sz w:val="32"/>
          <w:szCs w:val="32"/>
        </w:rPr>
      </w:pPr>
    </w:p>
    <w:p>
      <w:pPr>
        <w:numPr>
          <w:ilvl w:val="0"/>
          <w:numId w:val="2"/>
        </w:numPr>
        <w:ind w:firstLine="640"/>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cs="仿宋"/>
          <w:sz w:val="32"/>
          <w:szCs w:val="32"/>
          <w:lang w:val="en-US" w:eastAsia="zh-CN"/>
        </w:rPr>
        <w:t>我寺管会无扶贫资金。</w:t>
      </w:r>
    </w:p>
    <w:p>
      <w:pPr>
        <w:ind w:firstLine="640"/>
        <w:rPr>
          <w:rFonts w:hint="eastAsia" w:ascii="楷体" w:hAnsi="楷体" w:eastAsia="楷体"/>
          <w:sz w:val="32"/>
          <w:szCs w:val="32"/>
        </w:rPr>
      </w:pPr>
      <w:r>
        <w:rPr>
          <w:rFonts w:hint="eastAsia" w:ascii="楷体" w:hAnsi="楷体" w:eastAsia="楷体"/>
          <w:sz w:val="32"/>
          <w:szCs w:val="32"/>
        </w:rPr>
        <w:t>（六）政府债务情况。</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我寺管会无政府债务情况。</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B45C"/>
    <w:multiLevelType w:val="singleLevel"/>
    <w:tmpl w:val="6048B45C"/>
    <w:lvl w:ilvl="0" w:tentative="0">
      <w:start w:val="7"/>
      <w:numFmt w:val="decimal"/>
      <w:suff w:val="nothing"/>
      <w:lvlText w:val="%1."/>
      <w:lvlJc w:val="left"/>
    </w:lvl>
  </w:abstractNum>
  <w:abstractNum w:abstractNumId="1">
    <w:nsid w:val="6048C5BF"/>
    <w:multiLevelType w:val="singleLevel"/>
    <w:tmpl w:val="6048C5BF"/>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1D29"/>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671C4"/>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10BF2"/>
    <w:rsid w:val="00B60721"/>
    <w:rsid w:val="00B6522F"/>
    <w:rsid w:val="00B67A9E"/>
    <w:rsid w:val="00B74CCE"/>
    <w:rsid w:val="00B81BA7"/>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A1D4B4E"/>
    <w:rsid w:val="26D930CE"/>
    <w:rsid w:val="3DD162BD"/>
    <w:rsid w:val="3EBD4569"/>
    <w:rsid w:val="514B6172"/>
    <w:rsid w:val="61265256"/>
    <w:rsid w:val="6A59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544</Words>
  <Characters>3106</Characters>
  <Lines>25</Lines>
  <Paragraphs>7</Paragraphs>
  <TotalTime>1</TotalTime>
  <ScaleCrop>false</ScaleCrop>
  <LinksUpToDate>false</LinksUpToDate>
  <CharactersWithSpaces>3643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2021-03-03T03:38:00Z</dcterms:created>
  <dc:creator>CN=预算处/OU=预算处/OU=西藏自治区财政厅/O=TIBET</dc:creator>
  <cp:lastModifiedBy>Administrator</cp:lastModifiedBy>
  <cp:lastPrinted>2022-02-18T09:40:00Z</cp:lastPrinted>
  <dcterms:modified xsi:type="dcterms:W3CDTF">2022-02-18T10:00:48Z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